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AC3" w:rsidRPr="008C54C5" w:rsidRDefault="00501AC3" w:rsidP="00501AC3">
      <w:pPr>
        <w:jc w:val="both"/>
        <w:rPr>
          <w:rFonts w:ascii="Marker Felt Thin" w:hAnsi="Marker Felt Thin"/>
          <w:b/>
        </w:rPr>
      </w:pPr>
      <w:r w:rsidRPr="008C54C5">
        <w:rPr>
          <w:rFonts w:ascii="Marker Felt Thin" w:hAnsi="Marker Felt Thin"/>
          <w:b/>
        </w:rPr>
        <w:t>Wahlmöglichkeiten Themenbereiche</w:t>
      </w:r>
      <w:r w:rsidRPr="008C54C5">
        <w:rPr>
          <w:rFonts w:ascii="Avenir Book" w:hAnsi="Avenir Book"/>
          <w:b/>
          <w:noProof/>
          <w:vanish/>
          <w:sz w:val="22"/>
        </w:rPr>
        <w:drawing>
          <wp:inline distT="0" distB="0" distL="0" distR="0" wp14:anchorId="7B8775FF" wp14:editId="16C6B66B">
            <wp:extent cx="314325" cy="314325"/>
            <wp:effectExtent l="0" t="0" r="0" b="0"/>
            <wp:docPr id="1" name="Grafik 9" descr="Nad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 descr="Nadel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Nahrungsmittel aus Gewächshäusern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Gurken aus Südeuropa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Getreide aus Osteuropa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Fisch aus Nordeuropa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Intensive Tierhaltung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Reis – ein Grundnahrungsmittel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Weinanbau in Europa (z.B. Frankreich)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Olivenanbau in Europa (z.B. Griechenland)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Weizenanbau in Europa (z.B. Osteuropa)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Erdöl und Erdgas aus der Nordsee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Rohstoffabnehmer Automobilbau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Papier aus Finnland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Salz – das weiße Gold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Software aus Irland und Polen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proofErr w:type="spellStart"/>
            <w:r w:rsidRPr="009B6993">
              <w:rPr>
                <w:rFonts w:ascii="Avenir Book" w:hAnsi="Avenir Book"/>
                <w:sz w:val="22"/>
                <w:szCs w:val="22"/>
              </w:rPr>
              <w:t>Boomregion</w:t>
            </w:r>
            <w:proofErr w:type="spellEnd"/>
            <w:r w:rsidRPr="009B6993">
              <w:rPr>
                <w:rFonts w:ascii="Avenir Book" w:hAnsi="Avenir Book"/>
                <w:sz w:val="22"/>
                <w:szCs w:val="22"/>
              </w:rPr>
              <w:t xml:space="preserve"> München</w:t>
            </w:r>
          </w:p>
        </w:tc>
      </w:tr>
      <w:tr w:rsidR="00501AC3" w:rsidRPr="009B6993" w:rsidTr="005A37AF">
        <w:tc>
          <w:tcPr>
            <w:tcW w:w="5807" w:type="dxa"/>
          </w:tcPr>
          <w:p w:rsidR="00501AC3" w:rsidRPr="009B6993" w:rsidRDefault="00501AC3" w:rsidP="005A37A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venir Book" w:hAnsi="Avenir Book"/>
                <w:sz w:val="22"/>
                <w:szCs w:val="22"/>
              </w:rPr>
            </w:pPr>
            <w:r w:rsidRPr="009B6993">
              <w:rPr>
                <w:rFonts w:ascii="Avenir Book" w:hAnsi="Avenir Book"/>
                <w:sz w:val="22"/>
                <w:szCs w:val="22"/>
              </w:rPr>
              <w:t>Airbus als Beispiel für Teamwork in Europa</w:t>
            </w:r>
          </w:p>
        </w:tc>
      </w:tr>
    </w:tbl>
    <w:p w:rsidR="000C4524" w:rsidRDefault="000C4524">
      <w:bookmarkStart w:id="0" w:name="_GoBack"/>
      <w:bookmarkEnd w:id="0"/>
    </w:p>
    <w:sectPr w:rsidR="000C45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ker Felt Thin">
    <w:altName w:val="Calibri"/>
    <w:charset w:val="4D"/>
    <w:family w:val="auto"/>
    <w:pitch w:val="variable"/>
    <w:sig w:usb0="80000063" w:usb1="00000040" w:usb2="00000000" w:usb3="00000000" w:csb0="0000011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C5C42"/>
    <w:multiLevelType w:val="hybridMultilevel"/>
    <w:tmpl w:val="383E29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C3"/>
    <w:rsid w:val="000C4524"/>
    <w:rsid w:val="0050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C0FB9-6482-4E0A-88AC-B560524E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501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01AC3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501AC3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BA87BC4F.dotm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Christanell, Beatrix</dc:creator>
  <cp:keywords/>
  <dc:description/>
  <cp:lastModifiedBy>Christanell, Beatrix</cp:lastModifiedBy>
  <cp:revision>1</cp:revision>
  <dcterms:created xsi:type="dcterms:W3CDTF">2020-08-20T09:25:00Z</dcterms:created>
  <dcterms:modified xsi:type="dcterms:W3CDTF">2020-08-20T09:26:00Z</dcterms:modified>
</cp:coreProperties>
</file>